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3F02" w14:textId="77777777" w:rsidR="00F27F92" w:rsidRPr="00F27F92" w:rsidRDefault="00F27F92" w:rsidP="00F27F92">
      <w:pPr>
        <w:spacing w:after="0"/>
        <w:ind w:right="-90"/>
        <w:rPr>
          <w:b/>
          <w:sz w:val="20"/>
          <w:szCs w:val="20"/>
        </w:rPr>
      </w:pPr>
      <w:r w:rsidRPr="00F27F92">
        <w:rPr>
          <w:b/>
          <w:sz w:val="20"/>
          <w:szCs w:val="20"/>
        </w:rPr>
        <w:t>KOMUNIKATË PËR MEDIA</w:t>
      </w:r>
    </w:p>
    <w:p w14:paraId="762E44DC" w14:textId="4836D7F3" w:rsidR="00F27F92" w:rsidRPr="00F27F92" w:rsidRDefault="00F27F92" w:rsidP="00F27F92">
      <w:pPr>
        <w:spacing w:after="0"/>
        <w:ind w:right="-90"/>
        <w:rPr>
          <w:b/>
          <w:sz w:val="20"/>
          <w:szCs w:val="20"/>
        </w:rPr>
      </w:pPr>
      <w:r w:rsidRPr="00F27F92">
        <w:rPr>
          <w:b/>
          <w:sz w:val="20"/>
          <w:szCs w:val="20"/>
        </w:rPr>
        <w:t>0</w:t>
      </w:r>
      <w:r w:rsidRPr="00F27F92">
        <w:rPr>
          <w:b/>
          <w:sz w:val="20"/>
          <w:szCs w:val="20"/>
          <w:lang w:val="mk-MK"/>
        </w:rPr>
        <w:t>8</w:t>
      </w:r>
      <w:r w:rsidRPr="00F27F92">
        <w:rPr>
          <w:b/>
          <w:sz w:val="20"/>
          <w:szCs w:val="20"/>
        </w:rPr>
        <w:t>.0</w:t>
      </w:r>
      <w:r w:rsidRPr="00F27F92">
        <w:rPr>
          <w:b/>
          <w:sz w:val="20"/>
          <w:szCs w:val="20"/>
          <w:lang w:val="mk-MK"/>
        </w:rPr>
        <w:t>7</w:t>
      </w:r>
      <w:r w:rsidRPr="00F27F92">
        <w:rPr>
          <w:b/>
          <w:sz w:val="20"/>
          <w:szCs w:val="20"/>
        </w:rPr>
        <w:t>.2016, Shkup</w:t>
      </w:r>
    </w:p>
    <w:p w14:paraId="6814AD8C" w14:textId="77777777" w:rsidR="00F27F92" w:rsidRDefault="00F27F92" w:rsidP="00C46590">
      <w:pPr>
        <w:spacing w:after="0"/>
        <w:ind w:right="-90"/>
        <w:jc w:val="center"/>
        <w:rPr>
          <w:b/>
          <w:szCs w:val="20"/>
        </w:rPr>
      </w:pPr>
    </w:p>
    <w:p w14:paraId="1085A71C" w14:textId="3DFFE696" w:rsidR="00C46590" w:rsidRPr="000553B6" w:rsidRDefault="00C46590" w:rsidP="00C46590">
      <w:pPr>
        <w:spacing w:after="0"/>
        <w:ind w:right="-90"/>
        <w:jc w:val="center"/>
        <w:rPr>
          <w:b/>
          <w:szCs w:val="20"/>
          <w:lang w:val="mk-MK"/>
        </w:rPr>
      </w:pPr>
      <w:r>
        <w:rPr>
          <w:b/>
          <w:szCs w:val="20"/>
        </w:rPr>
        <w:t>INICIATIVA E SHOQ</w:t>
      </w:r>
      <w:r>
        <w:rPr>
          <w:b/>
          <w:szCs w:val="20"/>
          <w:lang w:val="sq-AL"/>
        </w:rPr>
        <w:t xml:space="preserve">ËRISË CIVILE PËR ZBATIM TË REFORMAVE URGJENTE DEMOKRATIKE </w:t>
      </w:r>
    </w:p>
    <w:p w14:paraId="319315B1" w14:textId="57232483" w:rsidR="00DF3BFD" w:rsidRPr="000553B6" w:rsidRDefault="00C46590" w:rsidP="000553B6">
      <w:pPr>
        <w:ind w:right="-90"/>
        <w:jc w:val="both"/>
        <w:rPr>
          <w:szCs w:val="20"/>
          <w:lang w:val="mk-MK"/>
        </w:rPr>
      </w:pPr>
      <w:r>
        <w:rPr>
          <w:szCs w:val="20"/>
          <w:lang w:val="sq-AL"/>
        </w:rPr>
        <w:t xml:space="preserve">Një </w:t>
      </w:r>
      <w:r w:rsidR="00066605">
        <w:rPr>
          <w:szCs w:val="20"/>
          <w:lang w:val="sq-AL"/>
        </w:rPr>
        <w:t xml:space="preserve">grup i </w:t>
      </w:r>
      <w:r>
        <w:rPr>
          <w:szCs w:val="20"/>
          <w:lang w:val="sq-AL"/>
        </w:rPr>
        <w:t xml:space="preserve">organizatave qytetare dhe ekspertëve përpiluan </w:t>
      </w:r>
      <w:r>
        <w:rPr>
          <w:i/>
          <w:szCs w:val="20"/>
          <w:lang w:val="mk-MK"/>
        </w:rPr>
        <w:t xml:space="preserve">Propozim për reforma urgjente demokratike </w:t>
      </w:r>
      <w:r>
        <w:rPr>
          <w:szCs w:val="20"/>
          <w:lang w:val="mk-MK"/>
        </w:rPr>
        <w:t>të cilat kanë për qëllim t’</w:t>
      </w:r>
      <w:r>
        <w:rPr>
          <w:szCs w:val="20"/>
          <w:lang w:val="sq-AL"/>
        </w:rPr>
        <w:t xml:space="preserve">i kthejnë standardet dhe vlerat demokratike në Maqedoni, duke e kthyer në këtë mënyrë edhe besimin e qytetarëve në institucionet kyçe shtetërore. </w:t>
      </w:r>
      <w:r w:rsidR="00480859" w:rsidRPr="000553B6">
        <w:rPr>
          <w:szCs w:val="20"/>
          <w:lang w:val="mk-MK"/>
        </w:rPr>
        <w:t xml:space="preserve"> </w:t>
      </w:r>
    </w:p>
    <w:p w14:paraId="72B3F8E5" w14:textId="5C2AAC3C" w:rsidR="00480859" w:rsidRPr="000553B6" w:rsidRDefault="00C46590" w:rsidP="000553B6">
      <w:pPr>
        <w:ind w:right="-90"/>
        <w:jc w:val="both"/>
        <w:rPr>
          <w:szCs w:val="20"/>
          <w:lang w:val="mk-MK"/>
        </w:rPr>
      </w:pPr>
      <w:r>
        <w:rPr>
          <w:szCs w:val="20"/>
          <w:lang w:val="sq-AL"/>
        </w:rPr>
        <w:t xml:space="preserve">Qëllimi kryesor i këtij dokumenti është që të propozojë masa për zbatim të reformave urgjente të cilat do të krijojnë kushte për zgjedhje të lira, të drejta dhe kredibile. Duke e patur parasysh nivelin e robërimit të shtetit nga ana e partive në pushtet, konsiderojmë që mënyra më e mirë që i përshtatet qëllimit është që masat e propozuara t’i zbatojë qeveria eksperte, e cila plotësisht do t’i përmbahet parimit </w:t>
      </w:r>
      <w:r w:rsidR="00C47E9E" w:rsidRPr="000553B6">
        <w:rPr>
          <w:szCs w:val="20"/>
          <w:lang w:val="mk-MK"/>
        </w:rPr>
        <w:t>„</w:t>
      </w:r>
      <w:r>
        <w:rPr>
          <w:szCs w:val="20"/>
          <w:lang w:val="sq-AL"/>
        </w:rPr>
        <w:t>Së pari reforma, e pastaj zgjedhje</w:t>
      </w:r>
      <w:r w:rsidR="00C47E9E" w:rsidRPr="000553B6">
        <w:rPr>
          <w:szCs w:val="20"/>
          <w:lang w:val="mk-MK"/>
        </w:rPr>
        <w:t>“</w:t>
      </w:r>
      <w:r w:rsidR="001252C1" w:rsidRPr="000553B6">
        <w:rPr>
          <w:szCs w:val="20"/>
          <w:lang w:val="mk-MK"/>
        </w:rPr>
        <w:t>.</w:t>
      </w:r>
    </w:p>
    <w:p w14:paraId="7D6061F9" w14:textId="1AA2E795" w:rsidR="00DF3BFD" w:rsidRPr="000553B6" w:rsidRDefault="00C46590" w:rsidP="000553B6">
      <w:pPr>
        <w:ind w:right="-90"/>
        <w:jc w:val="both"/>
        <w:rPr>
          <w:szCs w:val="20"/>
          <w:lang w:val="uz-Cyrl-UZ"/>
        </w:rPr>
      </w:pPr>
      <w:r>
        <w:rPr>
          <w:szCs w:val="20"/>
          <w:lang w:val="sq-AL"/>
        </w:rPr>
        <w:t xml:space="preserve">Dokumentin që po e prezantojmë sot është një tekst konçiz i cili e paraqet zërin e aleancës së shoqërisë civile për drejtimin në të cilin duhet të lëvizin ndryshimet kyçe demokratike. </w:t>
      </w:r>
    </w:p>
    <w:p w14:paraId="759B862A" w14:textId="4E9E50FB" w:rsidR="00C47E9E" w:rsidRPr="000553B6" w:rsidRDefault="00C46590" w:rsidP="000553B6">
      <w:pPr>
        <w:ind w:right="-90"/>
        <w:jc w:val="both"/>
        <w:rPr>
          <w:szCs w:val="20"/>
          <w:lang w:val="uz-Cyrl-UZ"/>
        </w:rPr>
      </w:pPr>
      <w:r>
        <w:rPr>
          <w:szCs w:val="20"/>
          <w:lang w:val="sq-AL"/>
        </w:rPr>
        <w:t xml:space="preserve">Konsiderojmë që ky dokument do të pranohet në tërësi. Pranimi i një pjese të dokumentit, dhe refuzimi i një pjese tjerër, nuk do të çojë në efektin e dëshiruar. </w:t>
      </w:r>
    </w:p>
    <w:p w14:paraId="6A76EB12" w14:textId="13AF7913" w:rsidR="009175B8" w:rsidRPr="000553B6" w:rsidRDefault="00C46590" w:rsidP="000553B6">
      <w:pPr>
        <w:ind w:right="-90"/>
        <w:jc w:val="both"/>
        <w:rPr>
          <w:szCs w:val="20"/>
          <w:lang w:val="sr-Latn-RS"/>
        </w:rPr>
      </w:pPr>
      <w:bookmarkStart w:id="0" w:name="h.30j0zll" w:colFirst="0" w:colLast="0"/>
      <w:bookmarkEnd w:id="0"/>
      <w:r>
        <w:rPr>
          <w:szCs w:val="20"/>
          <w:lang w:val="sq-AL"/>
        </w:rPr>
        <w:t xml:space="preserve">Është e nevojshme që të sigurohet përfshirje substanciale të shoqërisë civile në vlerësimin e gjendjes së institucioneve, por edhe në monitorimin dhe evaluimin e zbatimit të këtyre reformave. Përfshirje duhet të ekzistojë në të gjitha nivelet e qeverisë, përfshirë edhe organet e pavarura, mbikëqyrëse dhe rregullatore. </w:t>
      </w:r>
    </w:p>
    <w:p w14:paraId="6F250E71" w14:textId="155D4DB0" w:rsidR="004E7E31" w:rsidRPr="000553B6" w:rsidRDefault="00C46590" w:rsidP="000553B6">
      <w:pPr>
        <w:ind w:right="-90"/>
        <w:jc w:val="both"/>
        <w:rPr>
          <w:szCs w:val="20"/>
          <w:lang w:val="sr-Latn-RS"/>
        </w:rPr>
      </w:pPr>
      <w:r>
        <w:rPr>
          <w:szCs w:val="20"/>
          <w:lang w:val="sq-AL"/>
        </w:rPr>
        <w:t xml:space="preserve">Kjo iniciativë nuk është pjesë e një projekti zyrtar dhe nuk është e përkrahur financiarisht nga asnjë fond i huaj ose vendor. Kjo është shprehje e një vizioni të qartë të një pjese të organizatave qytetare, shoqërisë akademike dhe ekspertëve. </w:t>
      </w:r>
    </w:p>
    <w:p w14:paraId="6AE7F273" w14:textId="77777777" w:rsidR="00F27F92" w:rsidRDefault="00C46590" w:rsidP="00F27F92">
      <w:pPr>
        <w:ind w:right="-90"/>
        <w:jc w:val="both"/>
        <w:rPr>
          <w:szCs w:val="20"/>
          <w:lang w:val="sq-AL"/>
        </w:rPr>
      </w:pPr>
      <w:r>
        <w:rPr>
          <w:szCs w:val="20"/>
          <w:lang w:val="sq-AL"/>
        </w:rPr>
        <w:t xml:space="preserve">Me publikimin e këtij dokumenti u bëjmë thirrje qytetarëve, organizatave qytetare dhe lëvizjeve, si dhe partive politike që ta përkrahin iniciativën dhe të japin kontributin e tyre në drejtim të përmirësimit të këtij dokument. </w:t>
      </w:r>
    </w:p>
    <w:p w14:paraId="76B08E03" w14:textId="5F4D20F5" w:rsidR="004E7E31" w:rsidRPr="000553B6" w:rsidRDefault="004E7E31" w:rsidP="00F27F92">
      <w:pPr>
        <w:ind w:right="-90"/>
        <w:jc w:val="center"/>
        <w:rPr>
          <w:szCs w:val="20"/>
        </w:rPr>
      </w:pPr>
      <w:r w:rsidRPr="000553B6">
        <w:rPr>
          <w:szCs w:val="20"/>
        </w:rPr>
        <w:t>#####</w:t>
      </w:r>
      <w:bookmarkStart w:id="1" w:name="_GoBack"/>
      <w:bookmarkEnd w:id="1"/>
      <w:r w:rsidRPr="000553B6">
        <w:rPr>
          <w:szCs w:val="20"/>
        </w:rPr>
        <w:t>###</w:t>
      </w:r>
    </w:p>
    <w:p w14:paraId="6E44FB34" w14:textId="74D770CE" w:rsidR="004E7E31" w:rsidRPr="002A4FF0" w:rsidRDefault="00C46590" w:rsidP="000553B6">
      <w:pPr>
        <w:spacing w:after="0"/>
        <w:ind w:right="-90"/>
        <w:rPr>
          <w:bCs/>
          <w:szCs w:val="20"/>
        </w:rPr>
      </w:pPr>
      <w:r>
        <w:rPr>
          <w:bCs/>
          <w:szCs w:val="20"/>
          <w:lang w:val="sq-AL"/>
        </w:rPr>
        <w:t xml:space="preserve">Asociacioni qytetar MOST </w:t>
      </w:r>
      <w:r w:rsidR="002A4FF0">
        <w:rPr>
          <w:bCs/>
          <w:szCs w:val="20"/>
          <w:lang w:val="mk-MK"/>
        </w:rPr>
        <w:t xml:space="preserve">– </w:t>
      </w:r>
      <w:hyperlink r:id="rId8" w:history="1">
        <w:r w:rsidR="002A4FF0" w:rsidRPr="00217377">
          <w:rPr>
            <w:rStyle w:val="Hyperlink"/>
            <w:bCs/>
            <w:szCs w:val="20"/>
          </w:rPr>
          <w:t>press@most.org.mk</w:t>
        </w:r>
      </w:hyperlink>
      <w:r w:rsidR="002A4FF0">
        <w:rPr>
          <w:bCs/>
          <w:szCs w:val="20"/>
        </w:rPr>
        <w:t xml:space="preserve"> </w:t>
      </w:r>
    </w:p>
    <w:p w14:paraId="6765EC4E" w14:textId="6416EA57" w:rsidR="004E7E31" w:rsidRPr="002A4FF0" w:rsidRDefault="00C46590" w:rsidP="000553B6">
      <w:pPr>
        <w:spacing w:after="0"/>
        <w:ind w:right="-90"/>
        <w:rPr>
          <w:szCs w:val="20"/>
        </w:rPr>
      </w:pPr>
      <w:r>
        <w:rPr>
          <w:bCs/>
          <w:szCs w:val="20"/>
          <w:lang w:val="sq-AL"/>
        </w:rPr>
        <w:t xml:space="preserve">Instituti për demokraci Societas Civilis </w:t>
      </w:r>
      <w:r w:rsidR="00066605">
        <w:rPr>
          <w:bCs/>
          <w:szCs w:val="20"/>
          <w:lang w:val="sq-AL"/>
        </w:rPr>
        <w:t xml:space="preserve">(IDSCS) </w:t>
      </w:r>
      <w:r w:rsidR="002A4FF0">
        <w:rPr>
          <w:szCs w:val="20"/>
        </w:rPr>
        <w:t xml:space="preserve">- </w:t>
      </w:r>
      <w:hyperlink r:id="rId9" w:history="1">
        <w:r w:rsidR="002A4FF0" w:rsidRPr="002A4FF0">
          <w:rPr>
            <w:rStyle w:val="Hyperlink"/>
            <w:szCs w:val="20"/>
          </w:rPr>
          <w:t>contact@idscs.org.mk</w:t>
        </w:r>
      </w:hyperlink>
    </w:p>
    <w:p w14:paraId="4C275443" w14:textId="72D7A8AD" w:rsidR="004E7E31" w:rsidRPr="002A4FF0" w:rsidRDefault="00066605" w:rsidP="000553B6">
      <w:pPr>
        <w:spacing w:after="0"/>
        <w:ind w:right="-90"/>
        <w:rPr>
          <w:szCs w:val="20"/>
        </w:rPr>
      </w:pPr>
      <w:r>
        <w:rPr>
          <w:bCs/>
          <w:szCs w:val="20"/>
          <w:lang w:val="sq-AL"/>
        </w:rPr>
        <w:t xml:space="preserve">Instituti për politika evropiane (EPI) </w:t>
      </w:r>
      <w:r w:rsidR="002A4FF0">
        <w:rPr>
          <w:szCs w:val="20"/>
        </w:rPr>
        <w:t xml:space="preserve">- </w:t>
      </w:r>
      <w:hyperlink r:id="rId10" w:history="1">
        <w:r w:rsidR="002A4FF0" w:rsidRPr="00217377">
          <w:rPr>
            <w:rStyle w:val="Hyperlink"/>
            <w:szCs w:val="20"/>
          </w:rPr>
          <w:t>contact@epi.оrg.mk</w:t>
        </w:r>
      </w:hyperlink>
      <w:r w:rsidR="002A4FF0">
        <w:rPr>
          <w:szCs w:val="20"/>
        </w:rPr>
        <w:t xml:space="preserve"> </w:t>
      </w:r>
      <w:r w:rsidR="002A4FF0" w:rsidRPr="002A4FF0">
        <w:rPr>
          <w:szCs w:val="20"/>
        </w:rPr>
        <w:t xml:space="preserve"> </w:t>
      </w:r>
    </w:p>
    <w:p w14:paraId="43790CAD" w14:textId="749EF938" w:rsidR="00066605" w:rsidRPr="00066605" w:rsidRDefault="00066605" w:rsidP="00066605">
      <w:pPr>
        <w:spacing w:after="0"/>
        <w:ind w:right="-90"/>
        <w:rPr>
          <w:bCs/>
          <w:szCs w:val="20"/>
        </w:rPr>
      </w:pPr>
      <w:r>
        <w:rPr>
          <w:bCs/>
          <w:szCs w:val="20"/>
          <w:lang w:val="sq-AL"/>
        </w:rPr>
        <w:t xml:space="preserve">Instituti për studime të komunikimit (ISK) </w:t>
      </w:r>
      <w:r w:rsidR="00EC3A40">
        <w:rPr>
          <w:szCs w:val="20"/>
        </w:rPr>
        <w:t xml:space="preserve">- </w:t>
      </w:r>
      <w:hyperlink r:id="rId11" w:history="1">
        <w:r w:rsidR="00EC3A40" w:rsidRPr="00217377">
          <w:rPr>
            <w:rStyle w:val="Hyperlink"/>
            <w:szCs w:val="20"/>
          </w:rPr>
          <w:t>info@iks.edu.mk</w:t>
        </w:r>
      </w:hyperlink>
      <w:r w:rsidR="00EC3A40">
        <w:rPr>
          <w:szCs w:val="20"/>
        </w:rPr>
        <w:t xml:space="preserve"> </w:t>
      </w:r>
    </w:p>
    <w:p w14:paraId="60E6A899" w14:textId="04A755B3" w:rsidR="004E7E31" w:rsidRPr="00EC3A40" w:rsidRDefault="00066605" w:rsidP="000553B6">
      <w:pPr>
        <w:spacing w:after="0"/>
        <w:ind w:right="-90"/>
        <w:rPr>
          <w:bCs/>
          <w:szCs w:val="20"/>
        </w:rPr>
      </w:pPr>
      <w:r>
        <w:rPr>
          <w:bCs/>
          <w:szCs w:val="20"/>
          <w:lang w:val="sq-AL"/>
        </w:rPr>
        <w:t xml:space="preserve">Qendra maqedonase për arsimim evropian (QMAE) </w:t>
      </w:r>
      <w:r w:rsidR="00EC3A40">
        <w:rPr>
          <w:szCs w:val="20"/>
        </w:rPr>
        <w:t xml:space="preserve">- </w:t>
      </w:r>
      <w:hyperlink r:id="rId12" w:history="1">
        <w:r w:rsidR="00EC3A40" w:rsidRPr="00EC3A40">
          <w:rPr>
            <w:rStyle w:val="Hyperlink"/>
            <w:szCs w:val="20"/>
          </w:rPr>
          <w:t>mcet@mcet.org.mk</w:t>
        </w:r>
      </w:hyperlink>
    </w:p>
    <w:p w14:paraId="0BDEDDD0" w14:textId="00484EE8" w:rsidR="004E7E31" w:rsidRPr="00EC3A40" w:rsidRDefault="00066605" w:rsidP="000553B6">
      <w:pPr>
        <w:spacing w:after="0"/>
        <w:ind w:right="-90"/>
        <w:rPr>
          <w:szCs w:val="20"/>
        </w:rPr>
      </w:pPr>
      <w:r>
        <w:rPr>
          <w:bCs/>
          <w:szCs w:val="20"/>
          <w:lang w:val="sq-AL"/>
        </w:rPr>
        <w:t>Fondacioni shoqëri e hapur – Maqedoni (FSHHM)</w:t>
      </w:r>
      <w:r w:rsidR="00EC3A40">
        <w:rPr>
          <w:szCs w:val="20"/>
        </w:rPr>
        <w:t xml:space="preserve">– </w:t>
      </w:r>
      <w:hyperlink r:id="rId13" w:history="1">
        <w:r w:rsidR="00EC3A40" w:rsidRPr="00217377">
          <w:rPr>
            <w:rStyle w:val="Hyperlink"/>
            <w:szCs w:val="20"/>
          </w:rPr>
          <w:t>fosm@fosm.mk</w:t>
        </w:r>
      </w:hyperlink>
      <w:r w:rsidR="00EC3A40">
        <w:rPr>
          <w:szCs w:val="20"/>
        </w:rPr>
        <w:t xml:space="preserve"> </w:t>
      </w:r>
    </w:p>
    <w:p w14:paraId="50986B9D" w14:textId="3ED8B48D" w:rsidR="003A5882" w:rsidRPr="00EC3A40" w:rsidRDefault="00066605" w:rsidP="000553B6">
      <w:pPr>
        <w:spacing w:after="0"/>
        <w:ind w:right="-90"/>
        <w:rPr>
          <w:szCs w:val="20"/>
        </w:rPr>
      </w:pPr>
      <w:r>
        <w:rPr>
          <w:bCs/>
          <w:szCs w:val="20"/>
          <w:lang w:val="sq-AL"/>
        </w:rPr>
        <w:t xml:space="preserve">Komiteti maqedonas i Helsinkit për të drejtat e njeriut në Maqedoni (KMH) </w:t>
      </w:r>
      <w:r w:rsidR="00EC3A40">
        <w:rPr>
          <w:szCs w:val="20"/>
        </w:rPr>
        <w:t xml:space="preserve">- </w:t>
      </w:r>
      <w:hyperlink r:id="rId14" w:history="1">
        <w:r w:rsidR="00EC3A40" w:rsidRPr="00217377">
          <w:rPr>
            <w:rStyle w:val="Hyperlink"/>
            <w:szCs w:val="20"/>
          </w:rPr>
          <w:t>helkom@mhc.org.mk</w:t>
        </w:r>
      </w:hyperlink>
      <w:r w:rsidR="00EC3A40">
        <w:rPr>
          <w:szCs w:val="20"/>
        </w:rPr>
        <w:t xml:space="preserve"> </w:t>
      </w:r>
    </w:p>
    <w:p w14:paraId="7FF01B12" w14:textId="204E7608" w:rsidR="004E7E31" w:rsidRPr="00EC3A40" w:rsidRDefault="00066605" w:rsidP="000553B6">
      <w:pPr>
        <w:spacing w:after="0"/>
        <w:ind w:right="-90"/>
        <w:rPr>
          <w:bCs/>
          <w:szCs w:val="20"/>
        </w:rPr>
      </w:pPr>
      <w:r>
        <w:rPr>
          <w:bCs/>
          <w:szCs w:val="20"/>
          <w:lang w:val="sq-AL"/>
        </w:rPr>
        <w:t xml:space="preserve">Qendra për analiza ekonomike (QAE) </w:t>
      </w:r>
      <w:r w:rsidR="00EC3A40">
        <w:rPr>
          <w:szCs w:val="20"/>
        </w:rPr>
        <w:t xml:space="preserve">- </w:t>
      </w:r>
      <w:hyperlink r:id="rId15" w:history="1">
        <w:r w:rsidR="00EC3A40" w:rsidRPr="00217377">
          <w:rPr>
            <w:rStyle w:val="Hyperlink"/>
            <w:szCs w:val="20"/>
          </w:rPr>
          <w:t>info@cea.org.mk</w:t>
        </w:r>
      </w:hyperlink>
      <w:r w:rsidR="00EC3A40">
        <w:rPr>
          <w:szCs w:val="20"/>
        </w:rPr>
        <w:t xml:space="preserve"> </w:t>
      </w:r>
    </w:p>
    <w:p w14:paraId="394B8FAE" w14:textId="562448AA" w:rsidR="004E7E31" w:rsidRPr="00EC3A40" w:rsidRDefault="00066605" w:rsidP="000553B6">
      <w:pPr>
        <w:spacing w:after="0"/>
        <w:ind w:right="-90"/>
        <w:rPr>
          <w:bCs/>
          <w:szCs w:val="20"/>
        </w:rPr>
      </w:pPr>
      <w:r>
        <w:rPr>
          <w:bCs/>
          <w:szCs w:val="20"/>
          <w:lang w:val="sq-AL"/>
        </w:rPr>
        <w:t>CIVIL</w:t>
      </w:r>
      <w:r w:rsidR="004E7E31" w:rsidRPr="000553B6">
        <w:rPr>
          <w:szCs w:val="20"/>
          <w:lang w:val="mk-MK"/>
        </w:rPr>
        <w:t xml:space="preserve">- </w:t>
      </w:r>
      <w:r>
        <w:rPr>
          <w:szCs w:val="20"/>
          <w:lang w:val="sq-AL"/>
        </w:rPr>
        <w:t>Qendra për liri</w:t>
      </w:r>
      <w:r w:rsidR="004E7E31" w:rsidRPr="000553B6">
        <w:rPr>
          <w:bCs/>
          <w:szCs w:val="20"/>
          <w:lang w:val="mk-MK"/>
        </w:rPr>
        <w:t xml:space="preserve"> </w:t>
      </w:r>
      <w:r w:rsidR="00EC3A40">
        <w:rPr>
          <w:bCs/>
          <w:szCs w:val="20"/>
        </w:rPr>
        <w:t xml:space="preserve">– </w:t>
      </w:r>
      <w:hyperlink r:id="rId16" w:history="1">
        <w:r w:rsidR="00EC3A40" w:rsidRPr="00217377">
          <w:rPr>
            <w:rStyle w:val="Hyperlink"/>
            <w:bCs/>
            <w:szCs w:val="20"/>
          </w:rPr>
          <w:t>civil@civil.org.mk</w:t>
        </w:r>
      </w:hyperlink>
      <w:r w:rsidR="00EC3A40">
        <w:rPr>
          <w:bCs/>
          <w:szCs w:val="20"/>
        </w:rPr>
        <w:t xml:space="preserve"> </w:t>
      </w:r>
    </w:p>
    <w:p w14:paraId="22D3CFB8" w14:textId="58EC1FBA" w:rsidR="00A309A8" w:rsidRPr="00EC3A40" w:rsidRDefault="00066605" w:rsidP="000553B6">
      <w:pPr>
        <w:spacing w:after="0"/>
        <w:ind w:right="-90"/>
        <w:rPr>
          <w:bCs/>
          <w:szCs w:val="20"/>
        </w:rPr>
      </w:pPr>
      <w:r>
        <w:rPr>
          <w:bCs/>
          <w:szCs w:val="20"/>
          <w:lang w:val="sq-AL"/>
        </w:rPr>
        <w:t>Branimir Jovanoviq</w:t>
      </w:r>
      <w:r w:rsidR="00EC3A40">
        <w:rPr>
          <w:bCs/>
          <w:szCs w:val="20"/>
        </w:rPr>
        <w:t xml:space="preserve"> - </w:t>
      </w:r>
      <w:hyperlink r:id="rId17" w:history="1">
        <w:r w:rsidR="00386C34">
          <w:rPr>
            <w:rStyle w:val="Hyperlink"/>
          </w:rPr>
          <w:t>branimir.jovanovic@unito.it</w:t>
        </w:r>
      </w:hyperlink>
      <w:r w:rsidR="00EC3A40">
        <w:rPr>
          <w:bCs/>
          <w:szCs w:val="20"/>
        </w:rPr>
        <w:t xml:space="preserve"> </w:t>
      </w:r>
    </w:p>
    <w:p w14:paraId="0F6DF1BD" w14:textId="751232BE" w:rsidR="003A5882" w:rsidRPr="00EC3A40" w:rsidRDefault="00066605" w:rsidP="000553B6">
      <w:pPr>
        <w:spacing w:after="0"/>
        <w:ind w:right="-90"/>
        <w:rPr>
          <w:szCs w:val="20"/>
        </w:rPr>
      </w:pPr>
      <w:r>
        <w:rPr>
          <w:bCs/>
          <w:szCs w:val="20"/>
          <w:lang w:val="sq-AL"/>
        </w:rPr>
        <w:t>Dragan Gocevski</w:t>
      </w:r>
      <w:r w:rsidR="00EC3A40">
        <w:rPr>
          <w:bCs/>
          <w:szCs w:val="20"/>
          <w:lang w:val="mk-MK"/>
        </w:rPr>
        <w:t xml:space="preserve"> - </w:t>
      </w:r>
      <w:hyperlink r:id="rId18" w:history="1">
        <w:r w:rsidR="00EC3A40" w:rsidRPr="00217377">
          <w:rPr>
            <w:rStyle w:val="Hyperlink"/>
            <w:bCs/>
            <w:szCs w:val="20"/>
            <w:lang w:val="mk-MK"/>
          </w:rPr>
          <w:t>dragangocevski@gmail.com</w:t>
        </w:r>
      </w:hyperlink>
      <w:r w:rsidR="00EC3A40">
        <w:rPr>
          <w:bCs/>
          <w:szCs w:val="20"/>
        </w:rPr>
        <w:t xml:space="preserve"> </w:t>
      </w:r>
    </w:p>
    <w:p w14:paraId="1D55E3EB" w14:textId="159E13B4" w:rsidR="009175B8" w:rsidRPr="009175B8" w:rsidRDefault="004E7E31" w:rsidP="004A4CFE">
      <w:pPr>
        <w:ind w:right="-90"/>
        <w:jc w:val="center"/>
        <w:rPr>
          <w:b/>
          <w:lang w:val="mk-MK"/>
        </w:rPr>
      </w:pPr>
      <w:bookmarkStart w:id="2" w:name="h.2et92p0" w:colFirst="0" w:colLast="0"/>
      <w:bookmarkEnd w:id="2"/>
      <w:r w:rsidRPr="000553B6">
        <w:rPr>
          <w:b/>
          <w:szCs w:val="20"/>
          <w:lang w:val="mk-MK"/>
        </w:rPr>
        <w:br w:type="page"/>
      </w:r>
      <w:r w:rsidR="00066605">
        <w:rPr>
          <w:b/>
          <w:szCs w:val="20"/>
          <w:lang w:val="sq-AL"/>
        </w:rPr>
        <w:lastRenderedPageBreak/>
        <w:t>PËRMBLEDHJE TË MASAVE MË TË RËNDËSISHME TË PLANIT PËR REFORMA URGJENTE DEMOKRATIKE</w:t>
      </w:r>
    </w:p>
    <w:p w14:paraId="2B40F7D9" w14:textId="69AF1C1F" w:rsidR="00066605" w:rsidRPr="00066605" w:rsidRDefault="00066605" w:rsidP="00AC49DA">
      <w:pPr>
        <w:jc w:val="both"/>
        <w:rPr>
          <w:lang w:val="sq-AL"/>
        </w:rPr>
      </w:pPr>
      <w:r>
        <w:rPr>
          <w:i/>
          <w:u w:val="single"/>
          <w:lang w:val="sq-AL"/>
        </w:rPr>
        <w:t>Financat publike dhe ekonomia</w:t>
      </w:r>
      <w:r w:rsidR="00EB123B" w:rsidRPr="00D62870">
        <w:rPr>
          <w:i/>
          <w:lang w:val="mk-MK"/>
        </w:rPr>
        <w:t>:</w:t>
      </w:r>
      <w:r w:rsidR="00EB123B" w:rsidRPr="00D62870">
        <w:rPr>
          <w:lang w:val="mk-MK"/>
        </w:rPr>
        <w:t xml:space="preserve"> </w:t>
      </w:r>
      <w:r>
        <w:rPr>
          <w:lang w:val="sq-AL"/>
        </w:rPr>
        <w:t xml:space="preserve">kthimin e disiplinës fiskale dhe vendosje të transparencës fiskale. </w:t>
      </w:r>
    </w:p>
    <w:p w14:paraId="699C0DDE" w14:textId="4FC59342" w:rsidR="009643D7" w:rsidRPr="00D62870" w:rsidRDefault="00066605" w:rsidP="00AC49DA">
      <w:pPr>
        <w:jc w:val="both"/>
        <w:rPr>
          <w:lang w:val="mk-MK"/>
        </w:rPr>
      </w:pPr>
      <w:r>
        <w:rPr>
          <w:i/>
          <w:u w:val="single"/>
          <w:lang w:val="sq-AL"/>
        </w:rPr>
        <w:t>Gjyqësori</w:t>
      </w:r>
      <w:r w:rsidR="00EB123B" w:rsidRPr="00D62870">
        <w:rPr>
          <w:i/>
          <w:lang w:val="mk-MK"/>
        </w:rPr>
        <w:t>:</w:t>
      </w:r>
      <w:r w:rsidR="00EB123B" w:rsidRPr="00D62870">
        <w:rPr>
          <w:lang w:val="mk-MK"/>
        </w:rPr>
        <w:t xml:space="preserve"> </w:t>
      </w:r>
      <w:r>
        <w:rPr>
          <w:lang w:val="sq-AL"/>
        </w:rPr>
        <w:t xml:space="preserve">të sigurohet transparencë adekuate dhe paanshmëri në punën e institucioneve nga sistemi gjyqësor, masa për të garantuar punën e PPS-së. </w:t>
      </w:r>
    </w:p>
    <w:p w14:paraId="22CCF371" w14:textId="47AAA349" w:rsidR="002B5C78" w:rsidRPr="00AC49DA" w:rsidRDefault="00066605" w:rsidP="00AC49DA">
      <w:pPr>
        <w:jc w:val="both"/>
        <w:rPr>
          <w:lang w:val="mk-MK"/>
        </w:rPr>
      </w:pPr>
      <w:r>
        <w:rPr>
          <w:i/>
          <w:u w:val="single"/>
          <w:lang w:val="sq-AL"/>
        </w:rPr>
        <w:t>Lufta kundër korrupsionit</w:t>
      </w:r>
      <w:r w:rsidR="00EB123B" w:rsidRPr="00D62870">
        <w:rPr>
          <w:i/>
          <w:lang w:val="mk-MK"/>
        </w:rPr>
        <w:t>:</w:t>
      </w:r>
      <w:r w:rsidR="00EB123B" w:rsidRPr="00D62870">
        <w:rPr>
          <w:lang w:val="mk-MK"/>
        </w:rPr>
        <w:t xml:space="preserve"> </w:t>
      </w:r>
      <w:r>
        <w:rPr>
          <w:lang w:val="sq-AL"/>
        </w:rPr>
        <w:t>përgjegjësi nga udhëheqësit e institucioneve të cilët kanë lejuar përhapjen e korrupsionit në nivel të lartë</w:t>
      </w:r>
      <w:r w:rsidR="00EB123B" w:rsidRPr="00D62870">
        <w:rPr>
          <w:lang w:val="mk-MK"/>
        </w:rPr>
        <w:t xml:space="preserve">; </w:t>
      </w:r>
      <w:r>
        <w:rPr>
          <w:lang w:val="sq-AL"/>
        </w:rPr>
        <w:t>përforcim të integritetit të institucioneve</w:t>
      </w:r>
      <w:r w:rsidR="00EB123B" w:rsidRPr="00D62870">
        <w:rPr>
          <w:lang w:val="mk-MK"/>
        </w:rPr>
        <w:t xml:space="preserve">; </w:t>
      </w:r>
      <w:r>
        <w:rPr>
          <w:lang w:val="sq-AL"/>
        </w:rPr>
        <w:t xml:space="preserve">reformë e mënyrës së financimit të partive politike. </w:t>
      </w:r>
    </w:p>
    <w:p w14:paraId="2BA3EED9" w14:textId="2522A136" w:rsidR="009643D7" w:rsidRPr="00AC49DA" w:rsidRDefault="00066605" w:rsidP="00AC49DA">
      <w:pPr>
        <w:jc w:val="both"/>
        <w:rPr>
          <w:lang w:val="mk-MK"/>
        </w:rPr>
      </w:pPr>
      <w:r>
        <w:rPr>
          <w:i/>
          <w:u w:val="single"/>
          <w:lang w:val="sq-AL"/>
        </w:rPr>
        <w:t>Zgjedhjet dhe sistemi zgjedhor</w:t>
      </w:r>
      <w:r w:rsidR="00EB123B" w:rsidRPr="009522BD">
        <w:rPr>
          <w:i/>
          <w:lang w:val="mk-MK"/>
        </w:rPr>
        <w:t>:</w:t>
      </w:r>
      <w:r w:rsidR="00EB123B" w:rsidRPr="00AC49DA">
        <w:rPr>
          <w:lang w:val="mk-MK"/>
        </w:rPr>
        <w:t xml:space="preserve"> </w:t>
      </w:r>
      <w:r>
        <w:rPr>
          <w:lang w:val="sq-AL"/>
        </w:rPr>
        <w:t xml:space="preserve">reformim të Komisisonit shtetëror zgjedhor, pastrim të listës zgjedhore dhe ndarje të shtetit nga partitë politike. </w:t>
      </w:r>
    </w:p>
    <w:p w14:paraId="4B0EC888" w14:textId="5613110A" w:rsidR="009643D7" w:rsidRPr="00AC49DA" w:rsidRDefault="00066605" w:rsidP="00AC49DA">
      <w:pPr>
        <w:jc w:val="both"/>
        <w:rPr>
          <w:lang w:val="mk-MK"/>
        </w:rPr>
      </w:pPr>
      <w:r>
        <w:rPr>
          <w:i/>
          <w:u w:val="single"/>
          <w:lang w:val="sq-AL"/>
        </w:rPr>
        <w:t>Media</w:t>
      </w:r>
      <w:r w:rsidR="00EB123B" w:rsidRPr="00D62870">
        <w:rPr>
          <w:i/>
          <w:lang w:val="mk-MK"/>
        </w:rPr>
        <w:t>:</w:t>
      </w:r>
      <w:r w:rsidR="00EB123B" w:rsidRPr="00D62870">
        <w:rPr>
          <w:lang w:val="mk-MK"/>
        </w:rPr>
        <w:t xml:space="preserve"> </w:t>
      </w:r>
      <w:r>
        <w:rPr>
          <w:lang w:val="sq-AL"/>
        </w:rPr>
        <w:t>pavarësi të trupit rregullator dhe mediave nga ndikimi politik, autonomi dhe pavarësi institucionale të Shërbimit të transmetimit publik</w:t>
      </w:r>
      <w:r w:rsidR="00EB123B" w:rsidRPr="00D62870">
        <w:rPr>
          <w:lang w:val="mk-MK"/>
        </w:rPr>
        <w:t xml:space="preserve">; </w:t>
      </w:r>
      <w:r>
        <w:rPr>
          <w:lang w:val="sq-AL"/>
        </w:rPr>
        <w:t>ndalim të gjuhës së urrejtjes dhe diskriminimit në media</w:t>
      </w:r>
      <w:r w:rsidR="00EB123B" w:rsidRPr="00D62870">
        <w:rPr>
          <w:lang w:val="mk-MK"/>
        </w:rPr>
        <w:t xml:space="preserve">; </w:t>
      </w:r>
      <w:r>
        <w:rPr>
          <w:lang w:val="sq-AL"/>
        </w:rPr>
        <w:t>rritje të nivelit të sigurisë të gazetarëve.</w:t>
      </w:r>
    </w:p>
    <w:p w14:paraId="112FF11C" w14:textId="6B7E827D" w:rsidR="009643D7" w:rsidRPr="00AC49DA" w:rsidRDefault="00066605" w:rsidP="00AC49DA">
      <w:pPr>
        <w:jc w:val="both"/>
        <w:rPr>
          <w:lang w:val="mk-MK"/>
        </w:rPr>
      </w:pPr>
      <w:r>
        <w:rPr>
          <w:i/>
          <w:u w:val="single"/>
          <w:lang w:val="sq-AL"/>
        </w:rPr>
        <w:t>Administrata publike</w:t>
      </w:r>
      <w:r w:rsidR="00EB123B" w:rsidRPr="009522BD">
        <w:rPr>
          <w:i/>
          <w:lang w:val="mk-MK"/>
        </w:rPr>
        <w:t>:</w:t>
      </w:r>
      <w:r w:rsidR="00EB123B" w:rsidRPr="00AC49DA">
        <w:rPr>
          <w:lang w:val="mk-MK"/>
        </w:rPr>
        <w:t xml:space="preserve"> </w:t>
      </w:r>
      <w:r>
        <w:rPr>
          <w:lang w:val="sq-AL"/>
        </w:rPr>
        <w:t>Të mos lejohet keqpërdorim i administratës në kohën e zgjedhjeve</w:t>
      </w:r>
      <w:r w:rsidR="000553B6">
        <w:rPr>
          <w:lang w:val="mk-MK"/>
        </w:rPr>
        <w:t xml:space="preserve">; </w:t>
      </w:r>
      <w:r>
        <w:rPr>
          <w:lang w:val="sq-AL"/>
        </w:rPr>
        <w:t>transparencë të rritur/publikim të të gjitha vendimeve qeveritare 24 orë pas seancave</w:t>
      </w:r>
      <w:r w:rsidR="000553B6">
        <w:rPr>
          <w:lang w:val="mk-MK"/>
        </w:rPr>
        <w:t xml:space="preserve">; </w:t>
      </w:r>
      <w:r>
        <w:rPr>
          <w:lang w:val="sq-AL"/>
        </w:rPr>
        <w:t>qasje të plotë deri te informacionet me karakter publik</w:t>
      </w:r>
      <w:r w:rsidR="000553B6">
        <w:rPr>
          <w:lang w:val="mk-MK"/>
        </w:rPr>
        <w:t xml:space="preserve">; </w:t>
      </w:r>
      <w:r>
        <w:rPr>
          <w:lang w:val="sq-AL"/>
        </w:rPr>
        <w:t>barazi dhe siguri ligjore për procedurat administrative</w:t>
      </w:r>
      <w:r w:rsidR="000553B6">
        <w:rPr>
          <w:lang w:val="mk-MK"/>
        </w:rPr>
        <w:t xml:space="preserve">; </w:t>
      </w:r>
      <w:r>
        <w:rPr>
          <w:lang w:val="sq-AL"/>
        </w:rPr>
        <w:t xml:space="preserve">shqiptimi i gjobave të bazohet në proporcionalitet. </w:t>
      </w:r>
    </w:p>
    <w:p w14:paraId="774181A1" w14:textId="641B8E02" w:rsidR="009643D7" w:rsidRPr="00AC49DA" w:rsidRDefault="00066605" w:rsidP="00AC49DA">
      <w:pPr>
        <w:jc w:val="both"/>
        <w:rPr>
          <w:lang w:val="mk-MK"/>
        </w:rPr>
      </w:pPr>
      <w:r>
        <w:rPr>
          <w:i/>
          <w:u w:val="single"/>
          <w:lang w:val="sq-AL"/>
        </w:rPr>
        <w:t>Kontrolli mbi policinë dhe agjencitë për siguri dhe (kundër)zbulim</w:t>
      </w:r>
      <w:r w:rsidR="00EB123B" w:rsidRPr="009522BD">
        <w:rPr>
          <w:i/>
          <w:lang w:val="mk-MK"/>
        </w:rPr>
        <w:t>:</w:t>
      </w:r>
      <w:r w:rsidR="00EB123B" w:rsidRPr="00AC49DA">
        <w:rPr>
          <w:lang w:val="mk-MK"/>
        </w:rPr>
        <w:t xml:space="preserve"> </w:t>
      </w:r>
      <w:r w:rsidRPr="00925208">
        <w:t>të sigurohet kontroll i jashtëm civil kredibil dhe efektiv mbi policinë dhe shërbimet sekrete</w:t>
      </w:r>
      <w:r w:rsidRPr="000553B6">
        <w:rPr>
          <w:lang w:val="mk-MK"/>
        </w:rPr>
        <w:t xml:space="preserve"> </w:t>
      </w:r>
      <w:r>
        <w:rPr>
          <w:lang w:val="sq-AL"/>
        </w:rPr>
        <w:t xml:space="preserve">si dhe përkhraje të grupit ekspert të punës në Këshillin e Evropës dhe MPB-së për përcaktim të modelit. </w:t>
      </w:r>
    </w:p>
    <w:p w14:paraId="2717021D" w14:textId="1E79018D" w:rsidR="000B763C" w:rsidRPr="00AC49DA" w:rsidRDefault="00066605" w:rsidP="00AC49DA">
      <w:pPr>
        <w:jc w:val="both"/>
      </w:pPr>
      <w:r>
        <w:rPr>
          <w:i/>
          <w:u w:val="single"/>
          <w:lang w:val="sq-AL"/>
        </w:rPr>
        <w:t>Kuvendi</w:t>
      </w:r>
      <w:r w:rsidR="00EB123B" w:rsidRPr="00D62870">
        <w:rPr>
          <w:i/>
          <w:lang w:val="mk-MK"/>
        </w:rPr>
        <w:t>:</w:t>
      </w:r>
      <w:r w:rsidR="00EB123B" w:rsidRPr="00D62870">
        <w:rPr>
          <w:lang w:val="mk-MK"/>
        </w:rPr>
        <w:t xml:space="preserve"> </w:t>
      </w:r>
      <w:r>
        <w:rPr>
          <w:lang w:val="sq-AL"/>
        </w:rPr>
        <w:t xml:space="preserve">përforcim të mekanizmave për kontrollë parlamentare, transparencë dhe përfshirje të opinionit, tejkalim të dobësive në procedurën e miratimit të ligjeve dhe efektiviteti i diskutimeve parlamentare. </w:t>
      </w:r>
    </w:p>
    <w:p w14:paraId="38B8D97E" w14:textId="0CFE8BB3" w:rsidR="009643D7" w:rsidRPr="000553B6" w:rsidRDefault="00066605" w:rsidP="00AC49DA">
      <w:pPr>
        <w:jc w:val="both"/>
        <w:rPr>
          <w:lang w:val="mk-MK"/>
        </w:rPr>
      </w:pPr>
      <w:r>
        <w:rPr>
          <w:i/>
          <w:u w:val="single"/>
          <w:lang w:val="sq-AL"/>
        </w:rPr>
        <w:t>Shoqëria civile</w:t>
      </w:r>
      <w:r w:rsidR="00EB123B" w:rsidRPr="009522BD">
        <w:rPr>
          <w:i/>
          <w:lang w:val="mk-MK"/>
        </w:rPr>
        <w:t>:</w:t>
      </w:r>
      <w:r w:rsidR="00EB123B" w:rsidRPr="00AC49DA">
        <w:rPr>
          <w:lang w:val="mk-MK"/>
        </w:rPr>
        <w:t xml:space="preserve"> </w:t>
      </w:r>
      <w:r>
        <w:rPr>
          <w:lang w:val="sq-AL"/>
        </w:rPr>
        <w:t>Zvogëlim të prageve ligjore për të gjitha llojet e pjesëmarrjes direkte civile</w:t>
      </w:r>
      <w:r w:rsidR="000553B6" w:rsidRPr="000553B6">
        <w:rPr>
          <w:lang w:val="mk-MK"/>
        </w:rPr>
        <w:t xml:space="preserve">; </w:t>
      </w:r>
      <w:r>
        <w:rPr>
          <w:lang w:val="sq-AL"/>
        </w:rPr>
        <w:t>vendosjen e një mekanizmi efektiv konsultativ për hartim të politikave dhe vendimmarrjes</w:t>
      </w:r>
      <w:r w:rsidR="000553B6" w:rsidRPr="000553B6">
        <w:rPr>
          <w:lang w:val="mk-MK"/>
        </w:rPr>
        <w:t xml:space="preserve">; </w:t>
      </w:r>
      <w:r>
        <w:rPr>
          <w:lang w:val="sq-AL"/>
        </w:rPr>
        <w:t>sigurim të një kornize ligjore për të drejtën për të protestuar në përputhje me standardet ndërkombëtare.</w:t>
      </w:r>
    </w:p>
    <w:p w14:paraId="267C9124" w14:textId="07879CD7" w:rsidR="00101737" w:rsidRPr="00066605" w:rsidRDefault="00066605" w:rsidP="009175B8">
      <w:pPr>
        <w:jc w:val="both"/>
        <w:rPr>
          <w:lang w:val="sq-AL"/>
        </w:rPr>
      </w:pPr>
      <w:r>
        <w:rPr>
          <w:i/>
          <w:u w:val="single"/>
          <w:lang w:val="sq-AL"/>
        </w:rPr>
        <w:t>Mbrojtja sociale, mirëqenia dhe qëndrueshmëria</w:t>
      </w:r>
      <w:r w:rsidR="00101737" w:rsidRPr="009522BD">
        <w:rPr>
          <w:i/>
          <w:lang w:val="mk-MK"/>
        </w:rPr>
        <w:t>:</w:t>
      </w:r>
      <w:r w:rsidR="00101737">
        <w:rPr>
          <w:lang w:val="mk-MK"/>
        </w:rPr>
        <w:t xml:space="preserve"> </w:t>
      </w:r>
      <w:r>
        <w:rPr>
          <w:lang w:val="sq-AL"/>
        </w:rPr>
        <w:t>Përcaktim të mangësive kritike të sistemit të mbrojtjes sociale dhe futjen e mbikëqyrjes në procedurat e ndarjes së ndihmës financiare sociale</w:t>
      </w:r>
      <w:r w:rsidR="000553B6" w:rsidRPr="000553B6">
        <w:rPr>
          <w:lang w:val="mk-MK"/>
        </w:rPr>
        <w:t xml:space="preserve">; </w:t>
      </w:r>
      <w:r>
        <w:rPr>
          <w:lang w:val="sq-AL"/>
        </w:rPr>
        <w:t>qasje ndërsektoriale në përpilimin e akteve strategjike dhe planeve të veprimit për ballafaqim me varfërinë, pabarazinë dhe mospërfshirjes.</w:t>
      </w:r>
    </w:p>
    <w:p w14:paraId="51C70F1F" w14:textId="63CA42CE" w:rsidR="00FE5EBD" w:rsidRPr="000553B6" w:rsidRDefault="00066605" w:rsidP="00FE5EBD">
      <w:pPr>
        <w:jc w:val="both"/>
      </w:pPr>
      <w:r>
        <w:rPr>
          <w:i/>
          <w:iCs/>
          <w:u w:val="single"/>
          <w:lang w:val="sq-AL"/>
        </w:rPr>
        <w:t>Arsimi dhe politikat rinore</w:t>
      </w:r>
      <w:r w:rsidR="00FE5EBD" w:rsidRPr="00066605">
        <w:rPr>
          <w:iCs/>
          <w:lang w:val="mk-MK"/>
        </w:rPr>
        <w:t xml:space="preserve">: </w:t>
      </w:r>
      <w:r w:rsidRPr="00066605">
        <w:rPr>
          <w:iCs/>
          <w:lang w:val="sq-AL"/>
        </w:rPr>
        <w:t>vendosjen e qasjes së integruar për kontrollë të cilësisë së arsimit, tërheqje të Ligjeve për akademi të mësimdhënësve dhe</w:t>
      </w:r>
      <w:r>
        <w:rPr>
          <w:i/>
          <w:iCs/>
          <w:lang w:val="sq-AL"/>
        </w:rPr>
        <w:t xml:space="preserve"> </w:t>
      </w:r>
      <w:r>
        <w:rPr>
          <w:iCs/>
          <w:lang w:val="sq-AL"/>
        </w:rPr>
        <w:t xml:space="preserve">themelimin e universitetit Damjan Gruev, përmirësim të organizimit të nxënësve dhe të studentëve, ndalim të planeve të reja të Strategjisë për të rinjë dhe ndalim të përhapjes të institucioneve të arsimit të lartë.  </w:t>
      </w:r>
      <w:r w:rsidRPr="00066605">
        <w:rPr>
          <w:iCs/>
          <w:lang w:val="mk-MK"/>
        </w:rPr>
        <w:t xml:space="preserve"> </w:t>
      </w:r>
    </w:p>
    <w:p w14:paraId="7E75E660" w14:textId="428AAC42" w:rsidR="00EE3624" w:rsidRDefault="00066605" w:rsidP="009175B8">
      <w:pPr>
        <w:jc w:val="both"/>
        <w:rPr>
          <w:lang w:val="mk-MK"/>
        </w:rPr>
      </w:pPr>
      <w:r>
        <w:rPr>
          <w:i/>
          <w:u w:val="single"/>
          <w:lang w:val="sq-AL"/>
        </w:rPr>
        <w:t>Mjedisi jetësor</w:t>
      </w:r>
      <w:r w:rsidR="009175B8" w:rsidRPr="000553B6">
        <w:rPr>
          <w:i/>
          <w:lang w:val="mk-MK"/>
        </w:rPr>
        <w:t>:</w:t>
      </w:r>
      <w:r w:rsidR="009175B8" w:rsidRPr="000553B6">
        <w:rPr>
          <w:lang w:val="mk-MK"/>
        </w:rPr>
        <w:t xml:space="preserve"> </w:t>
      </w:r>
      <w:r>
        <w:rPr>
          <w:lang w:val="sq-AL"/>
        </w:rPr>
        <w:t xml:space="preserve">ndryshime sistematike për tu mundësuar përdorim adekuat i eko-taksave të mbledhura, me qëllim që të mbrohet mjedisi jetësor dhe implementimi i ligjit të Bashkimit Evropian. </w:t>
      </w:r>
    </w:p>
    <w:sectPr w:rsidR="00EE3624" w:rsidSect="00F27F92">
      <w:pgSz w:w="11907" w:h="16839" w:code="9"/>
      <w:pgMar w:top="1080" w:right="1107" w:bottom="900" w:left="1080" w:header="709" w:footer="709"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AD727" w14:textId="77777777" w:rsidR="0048721C" w:rsidRDefault="0048721C" w:rsidP="009175B8">
      <w:pPr>
        <w:spacing w:after="0" w:line="240" w:lineRule="auto"/>
      </w:pPr>
      <w:r>
        <w:separator/>
      </w:r>
    </w:p>
  </w:endnote>
  <w:endnote w:type="continuationSeparator" w:id="0">
    <w:p w14:paraId="4B007788" w14:textId="77777777" w:rsidR="0048721C" w:rsidRDefault="0048721C" w:rsidP="009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4919" w14:textId="77777777" w:rsidR="0048721C" w:rsidRDefault="0048721C" w:rsidP="009175B8">
      <w:pPr>
        <w:spacing w:after="0" w:line="240" w:lineRule="auto"/>
      </w:pPr>
      <w:r>
        <w:separator/>
      </w:r>
    </w:p>
  </w:footnote>
  <w:footnote w:type="continuationSeparator" w:id="0">
    <w:p w14:paraId="720DBDC4" w14:textId="77777777" w:rsidR="0048721C" w:rsidRDefault="0048721C" w:rsidP="00917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713D"/>
    <w:multiLevelType w:val="hybridMultilevel"/>
    <w:tmpl w:val="CBAC08C4"/>
    <w:lvl w:ilvl="0" w:tplc="0409000B">
      <w:start w:val="1"/>
      <w:numFmt w:val="bullet"/>
      <w:lvlText w:val=""/>
      <w:lvlJc w:val="left"/>
      <w:pPr>
        <w:ind w:left="720" w:hanging="360"/>
      </w:pPr>
      <w:rPr>
        <w:rFonts w:ascii="Wingdings" w:hAnsi="Wingdings" w:hint="default"/>
      </w:rPr>
    </w:lvl>
    <w:lvl w:ilvl="1" w:tplc="C63802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C7119"/>
    <w:multiLevelType w:val="hybridMultilevel"/>
    <w:tmpl w:val="21562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B8"/>
    <w:rsid w:val="000105E9"/>
    <w:rsid w:val="000553B6"/>
    <w:rsid w:val="00066605"/>
    <w:rsid w:val="00083219"/>
    <w:rsid w:val="00101737"/>
    <w:rsid w:val="001252C1"/>
    <w:rsid w:val="00125D7B"/>
    <w:rsid w:val="00192235"/>
    <w:rsid w:val="001A6FFF"/>
    <w:rsid w:val="001B1E35"/>
    <w:rsid w:val="001E205C"/>
    <w:rsid w:val="002062CC"/>
    <w:rsid w:val="00220680"/>
    <w:rsid w:val="00222C4C"/>
    <w:rsid w:val="0025103B"/>
    <w:rsid w:val="002A4FF0"/>
    <w:rsid w:val="002D44BD"/>
    <w:rsid w:val="002E6ADE"/>
    <w:rsid w:val="002F1315"/>
    <w:rsid w:val="003543E2"/>
    <w:rsid w:val="00386C34"/>
    <w:rsid w:val="003A5882"/>
    <w:rsid w:val="003D4BA2"/>
    <w:rsid w:val="003E34EE"/>
    <w:rsid w:val="00480859"/>
    <w:rsid w:val="0048721C"/>
    <w:rsid w:val="004A4C3E"/>
    <w:rsid w:val="004A4CFE"/>
    <w:rsid w:val="004B3A39"/>
    <w:rsid w:val="004D3C06"/>
    <w:rsid w:val="004E7E31"/>
    <w:rsid w:val="004F5E16"/>
    <w:rsid w:val="00506B18"/>
    <w:rsid w:val="00632951"/>
    <w:rsid w:val="00636662"/>
    <w:rsid w:val="00665A0D"/>
    <w:rsid w:val="00693EB2"/>
    <w:rsid w:val="006F0692"/>
    <w:rsid w:val="00883808"/>
    <w:rsid w:val="009175B8"/>
    <w:rsid w:val="00945291"/>
    <w:rsid w:val="0095001E"/>
    <w:rsid w:val="009522BD"/>
    <w:rsid w:val="009616BF"/>
    <w:rsid w:val="009775DB"/>
    <w:rsid w:val="009C6E68"/>
    <w:rsid w:val="00A309A8"/>
    <w:rsid w:val="00A34095"/>
    <w:rsid w:val="00A60E8F"/>
    <w:rsid w:val="00A65074"/>
    <w:rsid w:val="00A77541"/>
    <w:rsid w:val="00A90072"/>
    <w:rsid w:val="00AC49DA"/>
    <w:rsid w:val="00B858EF"/>
    <w:rsid w:val="00BB2130"/>
    <w:rsid w:val="00BD4729"/>
    <w:rsid w:val="00C04A12"/>
    <w:rsid w:val="00C24BC5"/>
    <w:rsid w:val="00C46590"/>
    <w:rsid w:val="00C47E9E"/>
    <w:rsid w:val="00C906F5"/>
    <w:rsid w:val="00D26C4C"/>
    <w:rsid w:val="00D62870"/>
    <w:rsid w:val="00DF3BFD"/>
    <w:rsid w:val="00EB123B"/>
    <w:rsid w:val="00EC3A40"/>
    <w:rsid w:val="00EE3624"/>
    <w:rsid w:val="00EE61E2"/>
    <w:rsid w:val="00F27F92"/>
    <w:rsid w:val="00F710E1"/>
    <w:rsid w:val="00FE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FB7C"/>
  <w15:docId w15:val="{397A2014-F0C4-4C09-8C99-AF21E00B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1E35"/>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1B1E35"/>
    <w:rPr>
      <w:sz w:val="18"/>
      <w:szCs w:val="20"/>
    </w:rPr>
  </w:style>
  <w:style w:type="paragraph" w:styleId="CommentText">
    <w:name w:val="annotation text"/>
    <w:basedOn w:val="Normal"/>
    <w:link w:val="CommentTextChar"/>
    <w:uiPriority w:val="99"/>
    <w:semiHidden/>
    <w:unhideWhenUsed/>
    <w:rsid w:val="009175B8"/>
    <w:pPr>
      <w:spacing w:line="240" w:lineRule="auto"/>
    </w:pPr>
    <w:rPr>
      <w:sz w:val="20"/>
      <w:szCs w:val="20"/>
    </w:rPr>
  </w:style>
  <w:style w:type="character" w:customStyle="1" w:styleId="CommentTextChar">
    <w:name w:val="Comment Text Char"/>
    <w:basedOn w:val="DefaultParagraphFont"/>
    <w:link w:val="CommentText"/>
    <w:uiPriority w:val="99"/>
    <w:semiHidden/>
    <w:rsid w:val="009175B8"/>
    <w:rPr>
      <w:sz w:val="20"/>
      <w:szCs w:val="20"/>
    </w:rPr>
  </w:style>
  <w:style w:type="character" w:styleId="FootnoteReference">
    <w:name w:val="footnote reference"/>
    <w:aliases w:val="Ref,de nota al pie,4_G, BVI fnr,BVI fnr,16 Point,Superscript 6 Point,Footnote Reference Number,Times 10 Point, Exposant 3 Point,Footnote symbol,Footnote reference number,Exposant 3 Point,EN Footnote Reference,note TESI,ftref,SUPERS"/>
    <w:uiPriority w:val="99"/>
    <w:unhideWhenUsed/>
    <w:rsid w:val="009175B8"/>
    <w:rPr>
      <w:vertAlign w:val="superscript"/>
    </w:rPr>
  </w:style>
  <w:style w:type="character" w:styleId="CommentReference">
    <w:name w:val="annotation reference"/>
    <w:basedOn w:val="DefaultParagraphFont"/>
    <w:uiPriority w:val="99"/>
    <w:semiHidden/>
    <w:unhideWhenUsed/>
    <w:rsid w:val="009175B8"/>
    <w:rPr>
      <w:sz w:val="16"/>
      <w:szCs w:val="16"/>
    </w:rPr>
  </w:style>
  <w:style w:type="paragraph" w:styleId="BalloonText">
    <w:name w:val="Balloon Text"/>
    <w:basedOn w:val="Normal"/>
    <w:link w:val="BalloonTextChar"/>
    <w:uiPriority w:val="99"/>
    <w:semiHidden/>
    <w:unhideWhenUsed/>
    <w:rsid w:val="0091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6ADE"/>
    <w:rPr>
      <w:b/>
      <w:bCs/>
    </w:rPr>
  </w:style>
  <w:style w:type="character" w:customStyle="1" w:styleId="CommentSubjectChar">
    <w:name w:val="Comment Subject Char"/>
    <w:basedOn w:val="CommentTextChar"/>
    <w:link w:val="CommentSubject"/>
    <w:uiPriority w:val="99"/>
    <w:semiHidden/>
    <w:rsid w:val="002E6ADE"/>
    <w:rPr>
      <w:b/>
      <w:bCs/>
      <w:sz w:val="20"/>
      <w:szCs w:val="20"/>
    </w:rPr>
  </w:style>
  <w:style w:type="paragraph" w:styleId="PlainText">
    <w:name w:val="Plain Text"/>
    <w:basedOn w:val="Normal"/>
    <w:link w:val="PlainTextChar"/>
    <w:uiPriority w:val="99"/>
    <w:semiHidden/>
    <w:unhideWhenUsed/>
    <w:rsid w:val="000553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553B6"/>
    <w:rPr>
      <w:rFonts w:ascii="Consolas" w:hAnsi="Consolas"/>
      <w:sz w:val="21"/>
      <w:szCs w:val="21"/>
    </w:rPr>
  </w:style>
  <w:style w:type="character" w:styleId="Hyperlink">
    <w:name w:val="Hyperlink"/>
    <w:basedOn w:val="DefaultParagraphFont"/>
    <w:uiPriority w:val="99"/>
    <w:unhideWhenUsed/>
    <w:rsid w:val="002A4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46921">
      <w:bodyDiv w:val="1"/>
      <w:marLeft w:val="0"/>
      <w:marRight w:val="0"/>
      <w:marTop w:val="0"/>
      <w:marBottom w:val="0"/>
      <w:divBdr>
        <w:top w:val="none" w:sz="0" w:space="0" w:color="auto"/>
        <w:left w:val="none" w:sz="0" w:space="0" w:color="auto"/>
        <w:bottom w:val="none" w:sz="0" w:space="0" w:color="auto"/>
        <w:right w:val="none" w:sz="0" w:space="0" w:color="auto"/>
      </w:divBdr>
    </w:div>
    <w:div w:id="947086272">
      <w:bodyDiv w:val="1"/>
      <w:marLeft w:val="0"/>
      <w:marRight w:val="0"/>
      <w:marTop w:val="0"/>
      <w:marBottom w:val="0"/>
      <w:divBdr>
        <w:top w:val="none" w:sz="0" w:space="0" w:color="auto"/>
        <w:left w:val="none" w:sz="0" w:space="0" w:color="auto"/>
        <w:bottom w:val="none" w:sz="0" w:space="0" w:color="auto"/>
        <w:right w:val="none" w:sz="0" w:space="0" w:color="auto"/>
      </w:divBdr>
    </w:div>
    <w:div w:id="1448626284">
      <w:bodyDiv w:val="1"/>
      <w:marLeft w:val="0"/>
      <w:marRight w:val="0"/>
      <w:marTop w:val="0"/>
      <w:marBottom w:val="0"/>
      <w:divBdr>
        <w:top w:val="none" w:sz="0" w:space="0" w:color="auto"/>
        <w:left w:val="none" w:sz="0" w:space="0" w:color="auto"/>
        <w:bottom w:val="none" w:sz="0" w:space="0" w:color="auto"/>
        <w:right w:val="none" w:sz="0" w:space="0" w:color="auto"/>
      </w:divBdr>
    </w:div>
    <w:div w:id="1867013540">
      <w:bodyDiv w:val="1"/>
      <w:marLeft w:val="0"/>
      <w:marRight w:val="0"/>
      <w:marTop w:val="0"/>
      <w:marBottom w:val="0"/>
      <w:divBdr>
        <w:top w:val="none" w:sz="0" w:space="0" w:color="auto"/>
        <w:left w:val="none" w:sz="0" w:space="0" w:color="auto"/>
        <w:bottom w:val="none" w:sz="0" w:space="0" w:color="auto"/>
        <w:right w:val="none" w:sz="0" w:space="0" w:color="auto"/>
      </w:divBdr>
    </w:div>
    <w:div w:id="2095390334">
      <w:bodyDiv w:val="1"/>
      <w:marLeft w:val="0"/>
      <w:marRight w:val="0"/>
      <w:marTop w:val="0"/>
      <w:marBottom w:val="0"/>
      <w:divBdr>
        <w:top w:val="none" w:sz="0" w:space="0" w:color="auto"/>
        <w:left w:val="none" w:sz="0" w:space="0" w:color="auto"/>
        <w:bottom w:val="none" w:sz="0" w:space="0" w:color="auto"/>
        <w:right w:val="none" w:sz="0" w:space="0" w:color="auto"/>
      </w:divBdr>
    </w:div>
    <w:div w:id="21246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most.org.mk" TargetMode="External"/><Relationship Id="rId13" Type="http://schemas.openxmlformats.org/officeDocument/2006/relationships/hyperlink" Target="mailto:fosm@fosm.mk" TargetMode="External"/><Relationship Id="rId18" Type="http://schemas.openxmlformats.org/officeDocument/2006/relationships/hyperlink" Target="mailto:dragangocevsk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et@mcet.org.mk" TargetMode="External"/><Relationship Id="rId17" Type="http://schemas.openxmlformats.org/officeDocument/2006/relationships/hyperlink" Target="mailto:branimir.jovanovic@unito.it" TargetMode="External"/><Relationship Id="rId2" Type="http://schemas.openxmlformats.org/officeDocument/2006/relationships/numbering" Target="numbering.xml"/><Relationship Id="rId16" Type="http://schemas.openxmlformats.org/officeDocument/2006/relationships/hyperlink" Target="mailto:civil@civil.org.m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ks.edu.mk" TargetMode="External"/><Relationship Id="rId5" Type="http://schemas.openxmlformats.org/officeDocument/2006/relationships/webSettings" Target="webSettings.xml"/><Relationship Id="rId15" Type="http://schemas.openxmlformats.org/officeDocument/2006/relationships/hyperlink" Target="mailto:info@cea.org.mk" TargetMode="External"/><Relationship Id="rId10" Type="http://schemas.openxmlformats.org/officeDocument/2006/relationships/hyperlink" Target="mailto:contact@epi.&#1086;rg.m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idscs.org.mk" TargetMode="External"/><Relationship Id="rId14" Type="http://schemas.openxmlformats.org/officeDocument/2006/relationships/hyperlink" Target="mailto:helkom@mhc.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2233B-1CF7-42AF-896D-36D4AFEF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DELL1</cp:lastModifiedBy>
  <cp:revision>2</cp:revision>
  <dcterms:created xsi:type="dcterms:W3CDTF">2016-07-08T09:35:00Z</dcterms:created>
  <dcterms:modified xsi:type="dcterms:W3CDTF">2016-07-08T09:35:00Z</dcterms:modified>
</cp:coreProperties>
</file>